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lef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 xml:space="preserve">Adopted: </w:t>
        <w:tab/>
        <w:t xml:space="preserve"> Feb 23</w:t>
      </w:r>
    </w:p>
    <w:p>
      <w:pPr>
        <w:pStyle w:val="Body"/>
        <w:jc w:val="lef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Reviewed:</w:t>
        <w:tab/>
        <w:t xml:space="preserve"> May 2024</w:t>
      </w:r>
    </w:p>
    <w:p>
      <w:pPr>
        <w:pStyle w:val="Body"/>
        <w:jc w:val="lef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 xml:space="preserve">For Review: </w:t>
        <w:tab/>
        <w:t xml:space="preserve"> May 2025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KELBROOK AND SOUGH PARISH COUNCIL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PARISH COUNCILLOR EMAIL ADDRESS POLICY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Background Under the General Data Protection Regulation (GDPR) and the Data Protection Act 2018</w:t>
      </w:r>
      <w:r>
        <w:rPr>
          <w:sz w:val="24"/>
          <w:szCs w:val="24"/>
          <w:rtl w:val="0"/>
          <w:lang w:val="en-US"/>
        </w:rPr>
        <w:t xml:space="preserve"> (</w:t>
      </w:r>
      <w:r>
        <w:rPr>
          <w:sz w:val="24"/>
          <w:szCs w:val="24"/>
          <w:rtl w:val="0"/>
          <w:lang w:val="en-US"/>
        </w:rPr>
        <w:t>DPA) councillors should be aware of the risks and data protection obligations and responsibilities,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particularly with regard to use of personal email addresses.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Parish Council has obligations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relating to the confidentiality, integrity and availability of all personal data it holds. This means that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 Council is accountable for any Council business conducted involving personal data on any device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or through any email account.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use of personal devices and email accounts could raise the risk that personal data is processed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for different purposes from which it was originally collected. All members of the Council should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ensure they know their responsibilities in terms of only using personal data for the purposes which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 Council obtained it.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Individual email addresses have been set up for Councillors which will help to ensure the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confidentiality and security of Parish Council documents. By having a separate email for Parish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Council work all documents can be organised in the same place on your device making them easier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it-IT"/>
        </w:rPr>
        <w:t>to find.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Parish Council email addresses should: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only be used for Parish Council business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• </w:t>
      </w:r>
      <w:r>
        <w:rPr>
          <w:sz w:val="24"/>
          <w:szCs w:val="24"/>
          <w:rtl w:val="0"/>
          <w:lang w:val="en-US"/>
        </w:rPr>
        <w:t>not be used to register on any shopping or social media site or system that is not Council related,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such as a personal Facebook, Ebay, Instagram or Twitter account</w:t>
      </w:r>
    </w:p>
    <w:p>
      <w:pPr>
        <w:pStyle w:val="Body"/>
        <w:numPr>
          <w:ilvl w:val="0"/>
          <w:numId w:val="2"/>
        </w:numPr>
        <w:spacing w:line="288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not be used in connection with running or managing any business or for commercial activity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Addresses will be deleted once anyone ceases to be a Councillor.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These are a few simple rules to observe when using emails:</w:t>
      </w:r>
    </w:p>
    <w:p>
      <w:pPr>
        <w:pStyle w:val="Body"/>
        <w:rPr>
          <w:sz w:val="24"/>
          <w:szCs w:val="24"/>
        </w:rPr>
      </w:pP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1. Keep them brief and to the point. Think about the words used to avoid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</w:rPr>
        <w:t>misunderstandings.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2. Always use a heading, and use separate emails for anything not related to that matter.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3. When replying to </w:t>
      </w:r>
      <w:r>
        <w:rPr>
          <w:sz w:val="24"/>
          <w:szCs w:val="24"/>
          <w:rtl w:val="1"/>
        </w:rPr>
        <w:t>‘</w:t>
      </w:r>
      <w:r>
        <w:rPr>
          <w:sz w:val="24"/>
          <w:szCs w:val="24"/>
          <w:rtl w:val="0"/>
          <w:lang w:val="fr-FR"/>
        </w:rPr>
        <w:t>group</w:t>
      </w:r>
      <w:r>
        <w:rPr>
          <w:sz w:val="24"/>
          <w:szCs w:val="24"/>
          <w:rtl w:val="1"/>
        </w:rPr>
        <w:t xml:space="preserve">’ </w:t>
      </w:r>
      <w:r>
        <w:rPr>
          <w:sz w:val="24"/>
          <w:szCs w:val="24"/>
          <w:rtl w:val="0"/>
          <w:lang w:val="en-US"/>
        </w:rPr>
        <w:t>emails, Councillors should consider whether or not they need to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1"/>
        </w:rPr>
        <w:t>‘</w:t>
      </w:r>
      <w:r>
        <w:rPr>
          <w:sz w:val="24"/>
          <w:szCs w:val="24"/>
          <w:rtl w:val="0"/>
          <w:lang w:val="en-US"/>
        </w:rPr>
        <w:t>reply to all</w:t>
      </w:r>
      <w:r>
        <w:rPr>
          <w:sz w:val="24"/>
          <w:szCs w:val="24"/>
          <w:rtl w:val="1"/>
        </w:rPr>
        <w:t xml:space="preserve">’ </w:t>
      </w:r>
      <w:r>
        <w:rPr>
          <w:sz w:val="24"/>
          <w:szCs w:val="24"/>
          <w:rtl w:val="0"/>
          <w:lang w:val="en-US"/>
        </w:rPr>
        <w:t xml:space="preserve">or just </w:t>
      </w:r>
      <w:r>
        <w:rPr>
          <w:sz w:val="24"/>
          <w:szCs w:val="24"/>
          <w:rtl w:val="1"/>
        </w:rPr>
        <w:t>‘</w:t>
      </w:r>
      <w:r>
        <w:rPr>
          <w:sz w:val="24"/>
          <w:szCs w:val="24"/>
          <w:rtl w:val="0"/>
          <w:lang w:val="en-US"/>
        </w:rPr>
        <w:t>reply</w:t>
      </w:r>
      <w:r>
        <w:rPr>
          <w:sz w:val="24"/>
          <w:szCs w:val="24"/>
          <w:rtl w:val="1"/>
        </w:rPr>
        <w:t xml:space="preserve">’ </w:t>
      </w:r>
      <w:r>
        <w:rPr>
          <w:sz w:val="24"/>
          <w:szCs w:val="24"/>
          <w:rtl w:val="0"/>
          <w:lang w:val="en-US"/>
        </w:rPr>
        <w:t>to the sender.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4. Delete unnecessary emails after use.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5. Obtain the sender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permission before sharing data with third parties.</w:t>
      </w:r>
    </w:p>
    <w:p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6. Treat all documents as confidential until they are placed in the Public Domain.</w:t>
      </w:r>
    </w:p>
    <w:p>
      <w:pPr>
        <w:pStyle w:val="Body"/>
      </w:pPr>
      <w:r>
        <w:rPr>
          <w:sz w:val="24"/>
          <w:szCs w:val="24"/>
          <w:rtl w:val="0"/>
          <w:lang w:val="en-US"/>
        </w:rPr>
        <w:t>7. Review stored data on a regular basis and delete when no longer applicable or out of date.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